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0" w:end="72" w:hanging="0"/>
        <w:jc w:val="center"/>
        <w:rPr>
          <w:rFonts w:ascii="Calibri" w:hAnsi="Calibri" w:cs="Times-Roman"/>
          <w:b/>
          <w:b/>
          <w:sz w:val="28"/>
          <w:szCs w:val="28"/>
        </w:rPr>
      </w:pPr>
      <w:r>
        <w:rPr>
          <w:rFonts w:cs="Times-Roman" w:ascii="Calibri" w:hAnsi="Calibri"/>
          <w:b/>
          <w:sz w:val="28"/>
          <w:szCs w:val="28"/>
        </w:rPr>
      </w:r>
    </w:p>
    <w:p>
      <w:pPr>
        <w:pStyle w:val="Normal"/>
        <w:autoSpaceDE w:val="false"/>
        <w:ind w:start="0" w:end="458" w:hanging="0"/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  <w:t>MODULO B - BUSTA A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Times-Roman"/>
          <w:b/>
          <w:b/>
          <w:sz w:val="22"/>
          <w:szCs w:val="22"/>
        </w:rPr>
      </w:pPr>
      <w:r>
        <w:rPr>
          <w:rFonts w:cs="Times-Roman" w:ascii="Book Antiqua" w:hAnsi="Book Antiqua"/>
          <w:b/>
          <w:sz w:val="22"/>
          <w:szCs w:val="22"/>
        </w:rPr>
      </w:r>
    </w:p>
    <w:p>
      <w:pPr>
        <w:pStyle w:val="Default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  <w:t>(barrare la casella che interessa)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……………………………………………..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  <w:t>ovvero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 …………….…………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……………………………………………..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partecipante nell’ambito del R.T.I. 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(denominazione) ……………………………………………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…………….………………….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 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…………………………………….………………………………..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costituito con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 …………………………………………….…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…………………………………………………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partecipante alla 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procedura avente ad oggetto “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>CESSIONE IN LICENZA D’USO D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>EI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 xml:space="preserve"> DIRITTI AUDIOVISIVI 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 xml:space="preserve">RELATIVI ALLA TRASMISSIONE IN CHIARO SU TERRITORIO DELLA REGIONE TOSCANA DELLA DIRETTA DELLE GARE 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 xml:space="preserve">DEL TORNEO DEL CALCIO STORICO FIORENTINO </w:t>
      </w:r>
      <w:r>
        <w:rPr>
          <w:rStyle w:val="Carpredefinitoparagrafo"/>
          <w:rFonts w:eastAsia="Times New Roman" w:cs="Book Antiqua" w:ascii="Book Antiqua" w:hAnsi="Book Antiqua"/>
          <w:i/>
          <w:sz w:val="22"/>
          <w:szCs w:val="22"/>
          <w:lang w:val="it-IT" w:bidi="ar-SA"/>
        </w:rPr>
        <w:t>TRAMITE PIATTAFORMA DIGITALE TERRESTRE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 xml:space="preserve"> – INVITO A PRESENTARE OFFER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T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E”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sz w:val="22"/>
          <w:szCs w:val="22"/>
        </w:rPr>
      </w:pPr>
      <w:r>
        <w:rPr>
          <w:rFonts w:cs="Arial" w:ascii="Book Antiqua" w:hAnsi="Book Antiqua"/>
          <w:i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in conformità alle disposizioni del D.P.R. 28.12.2000, n. 445, articoli 46 e 47 in particolare, e consapevole delle sanzioni penali previste dall'articolo 76 dello stesso Decreto per le ipotesi di falsità in atti e dichiarazioni mendaci ivi indicate,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start="0" w:end="458" w:hanging="0"/>
        <w:jc w:val="center"/>
        <w:rPr>
          <w:rFonts w:ascii="Book Antiqua" w:hAnsi="Book Antiqua" w:cs="Arial"/>
          <w:b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DICHIARA: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spacing w:lineRule="auto" w:line="360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1) che la società ha domicilio fiscale in ………………..…………………………………………………………………………………………..  codice fiscale/p.iva………………………………………… ed è iscritta: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tenuto dalla Camera di commercio, industria, artigianato e agricoltura</w:t>
      </w:r>
    </w:p>
    <w:p>
      <w:pPr>
        <w:pStyle w:val="Normal"/>
        <w:autoSpaceDE w:val="false"/>
        <w:spacing w:lineRule="auto" w:line="360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delle commissioni provinciali per l’artigianato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58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bidi="ar-SA"/>
        </w:rPr>
        <w:t>per attività afferenti la concessione e/o autorizzazione ministeriale che abiliti l’emittente a trasmettere segnali audiovisivi</w:t>
      </w:r>
      <w:r>
        <w:rPr>
          <w:rFonts w:eastAsia="Times New Roman" w:cs="Arial" w:ascii="Book Antiqua" w:hAnsi="Book Antiqua"/>
          <w:sz w:val="22"/>
          <w:szCs w:val="22"/>
          <w:lang w:bidi="ar-SA"/>
        </w:rPr>
        <w:t>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2) di non trovarsi in stato di fallimento, di liquidazione coatta, o di concordato preventivo, salvo il caso di concordato con continuità aziendale e di non avere procedimenti in corso per la dichiarazione di tali situazioni;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3) l’insussistenza delle cause di esclusione previste dall’art. 80 del D. Lgs. n. 50/2016;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  <w:t>4) l’insussistenza della causa interdittiva di cui all’art. 53, comma 16 ter, del D.Lgs. n. 165/2001;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5) </w:t>
      </w: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di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possedere la capacità di trasmettere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su piattaforma digitale terrestre nel territorio della regione Toscana, assicurando almeno la copertura integrale del territorio della provincia di Firenze e di almeno la metà del rimanente territorio della regione 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toscana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stessa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Si specifica come segue la copertura territoriale garantita: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Style w:val="Carpredefinitoparagrafo"/>
          <w:rFonts w:ascii="Book Antiqua" w:hAnsi="Book Antiqua" w:eastAsia="Times New Roman" w:cs="Arial"/>
          <w:b w:val="false"/>
          <w:b w:val="false"/>
          <w:bCs w:val="false"/>
          <w:color w:val="00000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Nel </w:t>
      </w:r>
      <w:bookmarkStart w:id="0" w:name="_Hlk655139132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caso di raggruppamento temporaneo di impresa</w:t>
      </w:r>
      <w:bookmarkEnd w:id="0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si dichiara che detta copertura territoriale è garantita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in misura maggioritaria dalla mandataria,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la quale assicura la seguente copertura territoriale: 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eastAsia="Times New Roman" w:cs="Arial"/>
          <w:sz w:val="22"/>
          <w:szCs w:val="22"/>
          <w:lang w:bidi="ar-SA"/>
        </w:rPr>
      </w:pPr>
      <w:r>
        <w:rPr>
          <w:rFonts w:eastAsia="Times New Roman" w:cs="Arial" w:ascii="Book Antiqua" w:hAnsi="Book Antiqua"/>
          <w:sz w:val="22"/>
          <w:szCs w:val="22"/>
          <w:lang w:bidi="ar-SA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bidi="ar-SA"/>
        </w:rPr>
        <w:t xml:space="preserve">6) di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avere ottenuto una media di “contatti del giorno medio mensile” nel triennio 2018-2019-2020 non inferiore a 50.000 contatti nella Regione Toscana, da calcolarsi in base alle tabelle Auditel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(o, in assenza, di diversa modalità certificata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indicata come segue: ………………...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)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delle medie mensili relative allo stesso triennio.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/>
      </w:pP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Nel </w:t>
      </w:r>
      <w:bookmarkStart w:id="1" w:name="_Hlk6551391321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caso di raggruppamento temporaneo di impresa</w:t>
      </w:r>
      <w:bookmarkEnd w:id="1"/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si dichiara che dett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o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requisito tecnico-professionale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è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 xml:space="preserve">soddisfatto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color w:val="000000"/>
          <w:sz w:val="22"/>
          <w:szCs w:val="22"/>
          <w:lang w:eastAsia="it-IT" w:bidi="ar-SA"/>
        </w:rPr>
        <w:t>dalla mandataria.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Style w:val="Carpredefinitoparagrafo"/>
          <w:rFonts w:ascii="Book Antiqua" w:hAnsi="Book Antiqua" w:eastAsia="Times New Roman" w:cs="Arial"/>
          <w:sz w:val="22"/>
          <w:szCs w:val="22"/>
          <w:lang w:eastAsia="it-IT" w:bidi="ar-SA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start="0" w:end="458" w:hanging="0"/>
        <w:jc w:val="both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______________________ </w:t>
        <w:tab/>
        <w:tab/>
        <w:tab/>
        <w:tab/>
        <w:t xml:space="preserve">                  ______________________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        </w:t>
      </w:r>
      <w:r>
        <w:rPr>
          <w:rFonts w:cs="Arial" w:ascii="Book Antiqua" w:hAnsi="Book Antiqua"/>
          <w:sz w:val="22"/>
          <w:szCs w:val="22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Book Antiqu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LibreOffice/5.4.7.2$Windows_x86 LibreOffice_project/c838ef25c16710f8838b1faec480ebba495259d0</Application>
  <Pages>2</Pages>
  <Words>412</Words>
  <Characters>2998</Characters>
  <CharactersWithSpaces>3423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2021-03-05T17:54:00Z</dcterms:created>
  <dc:creator>D36093</dc:creator>
  <dc:description/>
  <dc:language>it-IT</dc:language>
  <cp:lastModifiedBy/>
  <cp:lastPrinted>2017-07-25T13:43:00Z</cp:lastPrinted>
  <dcterms:modified xsi:type="dcterms:W3CDTF">2021-06-23T14:21:27Z</dcterms:modified>
  <cp:revision>5</cp:revision>
  <dc:subject/>
  <dc:title>- di non trovarsi in stato di fallimento, di liquidazione, di cessazione attività, di amministrazione controllata o di concordato preventivo e di non avere procedimenti in corso per la dichiarazione di tali situazioni;</dc:title>
</cp:coreProperties>
</file>